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"/>
        <w:jc w:val="center"/>
        <w:rPr/>
      </w:pPr>
      <w:r>
        <w:rPr>
          <w:rFonts w:eastAsia="Calibri" w:cs="Calibri" w:ascii="Calibri" w:hAnsi="Calibri"/>
          <w:b/>
          <w:bCs/>
          <w:color w:val="1F4E79"/>
          <w:sz w:val="36"/>
          <w:szCs w:val="36"/>
        </w:rPr>
        <w:t>Thuy (Tyler) Hoang</w:t>
      </w:r>
    </w:p>
    <w:p>
      <w:pPr>
        <w:pStyle w:val="Normal"/>
        <w:spacing w:before="0" w:after="20"/>
        <w:jc w:val="center"/>
        <w:rPr/>
      </w:pPr>
      <w:r>
        <w:rPr>
          <w:rFonts w:eastAsia="Calibri" w:cs="Calibri" w:ascii="Calibri" w:hAnsi="Calibri"/>
          <w:color w:val="555555"/>
          <w:sz w:val="17"/>
          <w:szCs w:val="17"/>
        </w:rPr>
        <w:t>tyler@tylerhoang.xyz  |  portfolio.tylerhoang.xyz  |  linkedin.com/in/thuyghoang  |  Fountain Valley, CA  |  (949) 740-6969</w:t>
      </w:r>
    </w:p>
    <w:p>
      <w:pPr>
        <w:pStyle w:val="Normal"/>
        <w:pBdr>
          <w:bottom w:val="single" w:sz="8" w:space="2" w:color="1F4E79"/>
        </w:pBdr>
        <w:spacing w:before="100" w:after="40"/>
        <w:rPr/>
      </w:pPr>
      <w:r>
        <w:rPr>
          <w:rFonts w:eastAsia="Calibri" w:cs="Calibri" w:ascii="Calibri" w:hAnsi="Calibri"/>
          <w:b/>
          <w:bCs/>
          <w:color w:val="1F4E79"/>
          <w:sz w:val="20"/>
          <w:szCs w:val="20"/>
        </w:rPr>
        <w:t>SUMMARY</w:t>
      </w:r>
    </w:p>
    <w:p>
      <w:pPr>
        <w:pStyle w:val="Normal"/>
        <w:spacing w:before="40" w:after="2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Finance professional and MS Financial Analytics candidate (CSULB) with hands-on experience in client-facing banking, financial modeling, and investment analysis. FINRA SIE-certified and CFA Level I candidate with demonstrated skills in Python, advanced Excel, and quantitative valuation.</w:t>
      </w:r>
    </w:p>
    <w:p>
      <w:pPr>
        <w:pStyle w:val="Normal"/>
        <w:pBdr>
          <w:bottom w:val="single" w:sz="8" w:space="2" w:color="1F4E79"/>
        </w:pBdr>
        <w:spacing w:before="100" w:after="40"/>
        <w:rPr/>
      </w:pPr>
      <w:r>
        <w:rPr>
          <w:rFonts w:eastAsia="Calibri" w:cs="Calibri" w:ascii="Calibri" w:hAnsi="Calibri"/>
          <w:b/>
          <w:bCs/>
          <w:color w:val="1F4E79"/>
          <w:sz w:val="20"/>
          <w:szCs w:val="20"/>
        </w:rPr>
        <w:t>EDUCATION</w:t>
      </w:r>
    </w:p>
    <w:p>
      <w:pPr>
        <w:pStyle w:val="Normal"/>
        <w:tabs>
          <w:tab w:val="clear" w:pos="720"/>
          <w:tab w:val="right" w:pos="9360" w:leader="none"/>
        </w:tabs>
        <w:spacing w:before="50" w:after="1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>M.S. Financial Analytics (Expected Aug 2026)</w:t>
      </w:r>
      <w:r>
        <w:rPr>
          <w:rFonts w:eastAsia="Calibri" w:cs="Calibri" w:ascii="Calibri" w:hAnsi="Calibri"/>
          <w:color w:val="555555"/>
          <w:sz w:val="18"/>
          <w:szCs w:val="18"/>
        </w:rPr>
        <w:t xml:space="preserve"> — </w:t>
      </w:r>
      <w:r>
        <w:rPr>
          <w:rFonts w:eastAsia="Calibri" w:cs="Calibri" w:ascii="Calibri" w:hAnsi="Calibri"/>
          <w:i/>
          <w:iCs/>
          <w:color w:val="555555"/>
          <w:sz w:val="18"/>
          <w:szCs w:val="18"/>
        </w:rPr>
        <w:t>California State University, Long Beach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GPA: 3.75</w:t>
      </w:r>
    </w:p>
    <w:p>
      <w:pPr>
        <w:pStyle w:val="Normal"/>
        <w:tabs>
          <w:tab w:val="clear" w:pos="720"/>
          <w:tab w:val="right" w:pos="9360" w:leader="none"/>
        </w:tabs>
        <w:spacing w:before="50" w:after="1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>B.A. Business Administration / Finance</w:t>
      </w:r>
      <w:r>
        <w:rPr>
          <w:rFonts w:eastAsia="Calibri" w:cs="Calibri" w:ascii="Calibri" w:hAnsi="Calibri"/>
          <w:color w:val="555555"/>
          <w:sz w:val="18"/>
          <w:szCs w:val="18"/>
        </w:rPr>
        <w:t xml:space="preserve"> — </w:t>
      </w:r>
      <w:r>
        <w:rPr>
          <w:rFonts w:eastAsia="Calibri" w:cs="Calibri" w:ascii="Calibri" w:hAnsi="Calibri"/>
          <w:i/>
          <w:iCs/>
          <w:color w:val="555555"/>
          <w:sz w:val="18"/>
          <w:szCs w:val="18"/>
        </w:rPr>
        <w:t>California State University, Fullerton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GPA: 3.75</w:t>
      </w:r>
    </w:p>
    <w:p>
      <w:pPr>
        <w:pStyle w:val="Normal"/>
        <w:tabs>
          <w:tab w:val="clear" w:pos="720"/>
          <w:tab w:val="right" w:pos="9360" w:leader="none"/>
        </w:tabs>
        <w:spacing w:before="50" w:after="1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>A.A. Business Administration</w:t>
      </w:r>
      <w:r>
        <w:rPr>
          <w:rFonts w:eastAsia="Calibri" w:cs="Calibri" w:ascii="Calibri" w:hAnsi="Calibri"/>
          <w:color w:val="555555"/>
          <w:sz w:val="18"/>
          <w:szCs w:val="18"/>
        </w:rPr>
        <w:t xml:space="preserve"> — </w:t>
      </w:r>
      <w:r>
        <w:rPr>
          <w:rFonts w:eastAsia="Calibri" w:cs="Calibri" w:ascii="Calibri" w:hAnsi="Calibri"/>
          <w:i/>
          <w:iCs/>
          <w:color w:val="555555"/>
          <w:sz w:val="18"/>
          <w:szCs w:val="18"/>
        </w:rPr>
        <w:t>Orange Coast College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GPA: 4.0</w:t>
      </w:r>
    </w:p>
    <w:p>
      <w:pPr>
        <w:pStyle w:val="Normal"/>
        <w:pBdr>
          <w:bottom w:val="single" w:sz="8" w:space="2" w:color="1F4E79"/>
        </w:pBdr>
        <w:spacing w:before="100" w:after="40"/>
        <w:rPr/>
      </w:pPr>
      <w:r>
        <w:rPr>
          <w:rFonts w:eastAsia="Calibri" w:cs="Calibri" w:ascii="Calibri" w:hAnsi="Calibri"/>
          <w:b/>
          <w:bCs/>
          <w:color w:val="1F4E79"/>
          <w:sz w:val="20"/>
          <w:szCs w:val="20"/>
        </w:rPr>
        <w:t>CERTIFICATIONS &amp; CREDENTIALS</w:t>
      </w:r>
    </w:p>
    <w:p>
      <w:pPr>
        <w:pStyle w:val="Normal"/>
        <w:tabs>
          <w:tab w:val="clear" w:pos="720"/>
          <w:tab w:val="right" w:pos="9360" w:leader="none"/>
        </w:tabs>
        <w:spacing w:before="40" w:after="2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>CFA® Level I Candidate</w:t>
      </w:r>
      <w:r>
        <w:rPr>
          <w:rFonts w:eastAsia="Calibri" w:cs="Calibri" w:ascii="Calibri" w:hAnsi="Calibri"/>
          <w:i/>
          <w:iCs/>
          <w:color w:val="555555"/>
          <w:sz w:val="18"/>
          <w:szCs w:val="18"/>
        </w:rPr>
        <w:t xml:space="preserve"> — CFA Institute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Exam: Aug 2026</w:t>
      </w:r>
    </w:p>
    <w:p>
      <w:pPr>
        <w:pStyle w:val="Normal"/>
        <w:tabs>
          <w:tab w:val="clear" w:pos="720"/>
          <w:tab w:val="right" w:pos="9360" w:leader="none"/>
        </w:tabs>
        <w:spacing w:before="20" w:after="2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>Securities Industry Essentials (SIE)</w:t>
      </w:r>
      <w:r>
        <w:rPr>
          <w:rFonts w:eastAsia="Calibri" w:cs="Calibri" w:ascii="Calibri" w:hAnsi="Calibri"/>
          <w:i/>
          <w:iCs/>
          <w:color w:val="555555"/>
          <w:sz w:val="18"/>
          <w:szCs w:val="18"/>
        </w:rPr>
        <w:t xml:space="preserve"> — FINRA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Passed</w:t>
      </w:r>
    </w:p>
    <w:p>
      <w:pPr>
        <w:pStyle w:val="Normal"/>
        <w:pBdr>
          <w:bottom w:val="single" w:sz="8" w:space="2" w:color="1F4E79"/>
        </w:pBdr>
        <w:spacing w:before="100" w:after="40"/>
        <w:rPr/>
      </w:pPr>
      <w:r>
        <w:rPr>
          <w:rFonts w:eastAsia="Calibri" w:cs="Calibri" w:ascii="Calibri" w:hAnsi="Calibri"/>
          <w:b/>
          <w:bCs/>
          <w:color w:val="1F4E79"/>
          <w:sz w:val="20"/>
          <w:szCs w:val="20"/>
        </w:rPr>
        <w:t>WORK EXPERIENCE</w:t>
      </w:r>
    </w:p>
    <w:p>
      <w:pPr>
        <w:pStyle w:val="Normal"/>
        <w:tabs>
          <w:tab w:val="clear" w:pos="720"/>
          <w:tab w:val="right" w:pos="9360" w:leader="none"/>
        </w:tabs>
        <w:spacing w:before="70" w:after="10"/>
        <w:rPr/>
      </w:pPr>
      <w:r>
        <w:rPr>
          <w:rFonts w:eastAsia="Calibri" w:cs="Calibri" w:ascii="Calibri" w:hAnsi="Calibri"/>
          <w:b/>
          <w:bCs/>
          <w:color w:val="1A1A1A"/>
          <w:sz w:val="20"/>
          <w:szCs w:val="20"/>
        </w:rPr>
        <w:t>Associate Banker</w:t>
      </w:r>
      <w:r>
        <w:rPr>
          <w:rFonts w:eastAsia="Calibri" w:cs="Calibri" w:ascii="Calibri" w:hAnsi="Calibri"/>
          <w:color w:val="555555"/>
          <w:sz w:val="20"/>
          <w:szCs w:val="20"/>
        </w:rPr>
        <w:t xml:space="preserve"> | </w:t>
      </w:r>
      <w:r>
        <w:rPr>
          <w:rFonts w:eastAsia="Calibri" w:cs="Calibri" w:ascii="Calibri" w:hAnsi="Calibri"/>
          <w:i/>
          <w:iCs/>
          <w:color w:val="555555"/>
          <w:sz w:val="20"/>
          <w:szCs w:val="20"/>
        </w:rPr>
        <w:t>JPMorgan Chase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Oct 2024 – Present</w:t>
      </w:r>
    </w:p>
    <w:p>
      <w:pPr>
        <w:pStyle w:val="ListParagraph"/>
        <w:numPr>
          <w:ilvl w:val="0"/>
          <w:numId w:val="4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Advise 20+ clients weekly on personalized banking solutions, driving higher satisfaction scores and referral rates.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Processed 2,000+ monthly transactions with 25–50% reduction in client wait times through workflow improvements.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Retained clients in competitive market by proactively addressing needs and building long-term relationships.</w:t>
      </w:r>
    </w:p>
    <w:p>
      <w:pPr>
        <w:pStyle w:val="Normal"/>
        <w:tabs>
          <w:tab w:val="clear" w:pos="720"/>
          <w:tab w:val="right" w:pos="9360" w:leader="none"/>
        </w:tabs>
        <w:spacing w:before="70" w:after="10"/>
        <w:rPr/>
      </w:pPr>
      <w:r>
        <w:rPr>
          <w:rFonts w:eastAsia="Calibri" w:cs="Calibri" w:ascii="Calibri" w:hAnsi="Calibri"/>
          <w:b/>
          <w:bCs/>
          <w:color w:val="1A1A1A"/>
          <w:sz w:val="20"/>
          <w:szCs w:val="20"/>
        </w:rPr>
        <w:t>Financial Representative</w:t>
      </w:r>
      <w:r>
        <w:rPr>
          <w:rFonts w:eastAsia="Calibri" w:cs="Calibri" w:ascii="Calibri" w:hAnsi="Calibri"/>
          <w:color w:val="555555"/>
          <w:sz w:val="20"/>
          <w:szCs w:val="20"/>
        </w:rPr>
        <w:t xml:space="preserve"> | </w:t>
      </w:r>
      <w:r>
        <w:rPr>
          <w:rFonts w:eastAsia="Calibri" w:cs="Calibri" w:ascii="Calibri" w:hAnsi="Calibri"/>
          <w:i/>
          <w:iCs/>
          <w:color w:val="555555"/>
          <w:sz w:val="20"/>
          <w:szCs w:val="20"/>
        </w:rPr>
        <w:t>Modern Woodmen of America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Jun 2024 – Oct 2024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Managed client portfolio providing tailored financial planning across retirement and wealth management products.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Developed prospecting and consultative sales skills through end-to-end client engagement cycles.</w:t>
      </w:r>
    </w:p>
    <w:p>
      <w:pPr>
        <w:pStyle w:val="Normal"/>
        <w:pBdr>
          <w:bottom w:val="single" w:sz="8" w:space="2" w:color="1F4E79"/>
        </w:pBdr>
        <w:spacing w:before="100" w:after="40"/>
        <w:rPr/>
      </w:pPr>
      <w:r>
        <w:rPr>
          <w:rFonts w:eastAsia="Calibri" w:cs="Calibri" w:ascii="Calibri" w:hAnsi="Calibri"/>
          <w:b/>
          <w:bCs/>
          <w:color w:val="1F4E79"/>
          <w:sz w:val="20"/>
          <w:szCs w:val="20"/>
        </w:rPr>
        <w:t>ACADEMIC PROJECTS</w:t>
      </w:r>
    </w:p>
    <w:p>
      <w:pPr>
        <w:pStyle w:val="Normal"/>
        <w:tabs>
          <w:tab w:val="clear" w:pos="720"/>
          <w:tab w:val="right" w:pos="9360" w:leader="none"/>
        </w:tabs>
        <w:spacing w:before="70" w:after="10"/>
        <w:rPr/>
      </w:pPr>
      <w:r>
        <w:rPr>
          <w:rFonts w:eastAsia="Calibri" w:cs="Calibri" w:ascii="Calibri" w:hAnsi="Calibri"/>
          <w:b/>
          <w:bCs/>
          <w:color w:val="1A1A1A"/>
          <w:sz w:val="20"/>
          <w:szCs w:val="20"/>
        </w:rPr>
        <w:t>Boeing Credit &amp; Financial Statement Analysis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Fall 2025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Analyzed Boeing's debt maturity schedule, leverage ratios, and interest coverage using Bloomberg, quantifying the credit risk premium embedded in bond yields relative to Treasuries.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Synthesized findings into a forward-looking narrative on Boeing's capital structure, integrating ratio analysis with qualitative assessment of refinancing and solvency risk.</w:t>
      </w:r>
    </w:p>
    <w:p>
      <w:pPr>
        <w:pStyle w:val="Normal"/>
        <w:tabs>
          <w:tab w:val="clear" w:pos="720"/>
          <w:tab w:val="right" w:pos="9360" w:leader="none"/>
        </w:tabs>
        <w:spacing w:before="70" w:after="10"/>
        <w:rPr/>
      </w:pPr>
      <w:r>
        <w:rPr>
          <w:rFonts w:eastAsia="Calibri" w:cs="Calibri" w:ascii="Calibri" w:hAnsi="Calibri"/>
          <w:b/>
          <w:bCs/>
          <w:color w:val="1A1A1A"/>
          <w:sz w:val="20"/>
          <w:szCs w:val="20"/>
        </w:rPr>
        <w:t>Stock Price Prediction with LSTM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Spring 2026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Built a Long Short-Term Memory (LSTM) neural network in Python to forecast Walmart (WMT) stock prices using historical market data.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Evaluated model performance using RMSE and visualized predicted vs. actual prices to assess accuracy and identify trend-following behavior.</w:t>
      </w:r>
    </w:p>
    <w:p>
      <w:pPr>
        <w:pStyle w:val="Normal"/>
        <w:tabs>
          <w:tab w:val="clear" w:pos="720"/>
          <w:tab w:val="right" w:pos="9360" w:leader="none"/>
        </w:tabs>
        <w:spacing w:before="70" w:after="10"/>
        <w:rPr/>
      </w:pPr>
      <w:r>
        <w:rPr>
          <w:rFonts w:eastAsia="Calibri" w:cs="Calibri" w:ascii="Calibri" w:hAnsi="Calibri"/>
          <w:b/>
          <w:bCs/>
          <w:color w:val="1A1A1A"/>
          <w:sz w:val="20"/>
          <w:szCs w:val="20"/>
        </w:rPr>
        <w:t>Financial Analysis with Python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Fall 2025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Built OLS regression models to estimate stock betas, alphas, and multi-factor model coefficients from historical data.</w:t>
      </w:r>
    </w:p>
    <w:p>
      <w:pPr>
        <w:pStyle w:val="Normal"/>
        <w:tabs>
          <w:tab w:val="clear" w:pos="720"/>
          <w:tab w:val="right" w:pos="9360" w:leader="none"/>
        </w:tabs>
        <w:spacing w:before="70" w:after="10"/>
        <w:rPr/>
      </w:pPr>
      <w:r>
        <w:rPr>
          <w:rFonts w:eastAsia="Calibri" w:cs="Calibri" w:ascii="Calibri" w:hAnsi="Calibri"/>
          <w:b/>
          <w:bCs/>
          <w:color w:val="1A1A1A"/>
          <w:sz w:val="20"/>
          <w:szCs w:val="20"/>
        </w:rPr>
        <w:t>Quantitative Company Analysis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Fall 2025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Developed spreadsheet models for financial statement analysis, ratio benchmarking, cash flow forecasting, and DCF valuation under base, optimistic, and downside scenarios.</w:t>
      </w:r>
    </w:p>
    <w:p>
      <w:pPr>
        <w:pStyle w:val="Normal"/>
        <w:tabs>
          <w:tab w:val="clear" w:pos="720"/>
          <w:tab w:val="right" w:pos="9360" w:leader="none"/>
        </w:tabs>
        <w:spacing w:before="70" w:after="10"/>
        <w:rPr/>
      </w:pPr>
      <w:r>
        <w:rPr>
          <w:rFonts w:eastAsia="Calibri" w:cs="Calibri" w:ascii="Calibri" w:hAnsi="Calibri"/>
          <w:b/>
          <w:bCs/>
          <w:color w:val="1A1A1A"/>
          <w:sz w:val="20"/>
          <w:szCs w:val="20"/>
        </w:rPr>
        <w:t>Monte Carlo Simulation — Derivatives Pricing</w:t>
      </w:r>
      <w:r>
        <w:rPr>
          <w:rFonts w:eastAsia="Calibri" w:cs="Calibri" w:ascii="Calibri" w:hAnsi="Calibri"/>
          <w:color w:val="555555"/>
          <w:sz w:val="18"/>
          <w:szCs w:val="18"/>
        </w:rPr>
        <w:tab/>
        <w:t>Spring 2026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Modeled asset price dynamics using Geometric Brownian Motion (GBM) to simulate thousands of price paths and estimate option payoffs in Python.</w:t>
      </w:r>
    </w:p>
    <w:p>
      <w:pPr>
        <w:pStyle w:val="ListParagraph"/>
        <w:numPr>
          <w:ilvl w:val="0"/>
          <w:numId w:val="2"/>
        </w:numPr>
        <w:spacing w:before="10" w:after="10"/>
        <w:rPr/>
      </w:pPr>
      <w:r>
        <w:rPr>
          <w:rFonts w:eastAsia="Calibri" w:cs="Calibri" w:ascii="Calibri" w:hAnsi="Calibri"/>
          <w:color w:val="1A1A1A"/>
          <w:sz w:val="18"/>
          <w:szCs w:val="18"/>
        </w:rPr>
        <w:t>Applied stochastic calculus concepts to derive and validate simulated outcomes, demonstrating understanding of risk-neutral pricing and derivative valuation under uncertainty.</w:t>
      </w:r>
    </w:p>
    <w:p>
      <w:pPr>
        <w:pStyle w:val="Normal"/>
        <w:pBdr>
          <w:bottom w:val="single" w:sz="8" w:space="2" w:color="1F4E79"/>
        </w:pBdr>
        <w:spacing w:before="100" w:after="40"/>
        <w:rPr/>
      </w:pPr>
      <w:r>
        <w:rPr>
          <w:rFonts w:eastAsia="Calibri" w:cs="Calibri" w:ascii="Calibri" w:hAnsi="Calibri"/>
          <w:b/>
          <w:bCs/>
          <w:color w:val="1F4E79"/>
          <w:sz w:val="20"/>
          <w:szCs w:val="20"/>
        </w:rPr>
        <w:t>SKILLS</w:t>
      </w:r>
    </w:p>
    <w:p>
      <w:pPr>
        <w:pStyle w:val="Normal"/>
        <w:spacing w:before="30" w:after="1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 xml:space="preserve">Technical: </w:t>
      </w:r>
      <w:r>
        <w:rPr>
          <w:rFonts w:eastAsia="Calibri" w:cs="Calibri" w:ascii="Calibri" w:hAnsi="Calibri"/>
          <w:color w:val="1A1A1A"/>
          <w:sz w:val="18"/>
          <w:szCs w:val="18"/>
        </w:rPr>
        <w:t>Python (OLS regression, pandas), Advanced Excel (DCF models, scenario analysis), PowerPoint, Linux, LLM/AI tools</w:t>
      </w:r>
    </w:p>
    <w:p>
      <w:pPr>
        <w:pStyle w:val="Normal"/>
        <w:spacing w:before="10" w:after="1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 xml:space="preserve">Finance: </w:t>
      </w:r>
      <w:r>
        <w:rPr>
          <w:rFonts w:eastAsia="Calibri" w:cs="Calibri" w:ascii="Calibri" w:hAnsi="Calibri"/>
          <w:color w:val="1A1A1A"/>
          <w:sz w:val="18"/>
          <w:szCs w:val="18"/>
        </w:rPr>
        <w:t>Capital markets, fixed income &amp; derivatives, financial statement analysis, valuation (DCF, comps, M&amp;A multiples), client relationship management</w:t>
      </w:r>
    </w:p>
    <w:p>
      <w:pPr>
        <w:pStyle w:val="Normal"/>
        <w:spacing w:before="10" w:after="0"/>
        <w:rPr/>
      </w:pPr>
      <w:r>
        <w:rPr>
          <w:rFonts w:eastAsia="Calibri" w:cs="Calibri" w:ascii="Calibri" w:hAnsi="Calibri"/>
          <w:b/>
          <w:bCs/>
          <w:color w:val="1A1A1A"/>
          <w:sz w:val="18"/>
          <w:szCs w:val="18"/>
        </w:rPr>
        <w:t xml:space="preserve">Languages: </w:t>
      </w:r>
      <w:r>
        <w:rPr>
          <w:rFonts w:eastAsia="Calibri" w:cs="Calibri" w:ascii="Calibri" w:hAnsi="Calibri"/>
          <w:color w:val="1A1A1A"/>
          <w:sz w:val="18"/>
          <w:szCs w:val="18"/>
        </w:rPr>
        <w:t>English (Native), Vietnamese (Fluent)</w:t>
      </w:r>
    </w:p>
    <w:sectPr>
      <w:type w:val="nextPage"/>
      <w:pgSz w:w="12240" w:h="15840"/>
      <w:pgMar w:left="900" w:right="9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360" w:hanging="2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360" w:hanging="2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erif CJK SC" w:cs="Noto Sans Devanagari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LibreOffice/26.2.1.2$Linux_X86_64 LibreOffice_project/5937a82db3889b586a62e0a27a0d74b840403d7c</Application>
  <AppVersion>15.0000</AppVersion>
  <Pages>1</Pages>
  <Words>439</Words>
  <Characters>2921</Characters>
  <CharactersWithSpaces>3325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2026-03-18T17:53:19Z</dcterms:created>
  <dc:creator>Un-named</dc:creator>
  <dc:description/>
  <dc:language>en-US</dc:language>
  <cp:lastModifiedBy/>
  <dcterms:modified xsi:type="dcterms:W3CDTF">2026-03-18T14:50:49Z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